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BC" w:rsidRPr="00E41BBC" w:rsidRDefault="00E41BBC" w:rsidP="00E41BBC">
      <w:pPr>
        <w:pStyle w:val="point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выражающиеся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proofErr w:type="gramStart"/>
      <w:r>
        <w:rPr>
          <w:rStyle w:val="a7"/>
          <w:b/>
          <w:sz w:val="22"/>
          <w:szCs w:val="22"/>
        </w:rPr>
        <w:t xml:space="preserve">2 </w:t>
      </w:r>
      <w:r w:rsidRPr="005B3A4B">
        <w:rPr>
          <w:rStyle w:val="a7"/>
          <w:b/>
          <w:sz w:val="22"/>
          <w:szCs w:val="22"/>
        </w:rPr>
        <w:t xml:space="preserve"> до</w:t>
      </w:r>
      <w:proofErr w:type="gramEnd"/>
      <w:r w:rsidRPr="005B3A4B">
        <w:rPr>
          <w:rStyle w:val="a7"/>
          <w:b/>
          <w:sz w:val="22"/>
          <w:szCs w:val="22"/>
        </w:rPr>
        <w:t xml:space="preserve"> </w:t>
      </w:r>
      <w:r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 xml:space="preserve">базовых величин. </w:t>
      </w:r>
    </w:p>
    <w:p w:rsidR="0084529F" w:rsidRDefault="0084529F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5B3A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</w:p>
    <w:p w:rsidR="005B3A4B" w:rsidRPr="005B3A4B" w:rsidRDefault="005B3A4B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AB78BD" w:rsidRPr="005B3A4B" w:rsidRDefault="00AB78BD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 w:rsidR="0084529F"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 w:rsidR="0084529F"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84529F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Pr="005B3A4B">
        <w:rPr>
          <w:sz w:val="22"/>
          <w:szCs w:val="22"/>
        </w:rPr>
        <w:t xml:space="preserve">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</w:t>
      </w:r>
      <w:r w:rsidRPr="005B3A4B">
        <w:rPr>
          <w:sz w:val="22"/>
          <w:szCs w:val="22"/>
        </w:rPr>
        <w:t>токсических или других одурманивающих веществ, </w:t>
      </w:r>
      <w:r w:rsidR="009C7A62" w:rsidRPr="005B3A4B">
        <w:rPr>
          <w:sz w:val="22"/>
          <w:szCs w:val="22"/>
        </w:rPr>
        <w:t xml:space="preserve"> –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.6. Заведомо ложное сообщение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84529F">
        <w:rPr>
          <w:rStyle w:val="a7"/>
          <w:b/>
          <w:sz w:val="22"/>
          <w:szCs w:val="22"/>
        </w:rPr>
        <w:t xml:space="preserve">20 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.9. Курение (потребление) табачных изделий в запрещенных местах</w:t>
      </w:r>
    </w:p>
    <w:p w:rsidR="009C7A62" w:rsidRPr="005B3A4B" w:rsidRDefault="00AB78BD" w:rsidP="0084529F">
      <w:pPr>
        <w:pStyle w:val="newncpi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  <w:r w:rsidR="009C7A62" w:rsidRPr="005B3A4B">
        <w:rPr>
          <w:sz w:val="22"/>
          <w:szCs w:val="22"/>
        </w:rPr>
        <w:t>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C633B9" w:rsidTr="0084529F">
        <w:trPr>
          <w:trHeight w:val="1923"/>
        </w:trPr>
        <w:tc>
          <w:tcPr>
            <w:tcW w:w="4940" w:type="dxa"/>
          </w:tcPr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  <w:r w:rsidRPr="0084529F">
              <w:rPr>
                <w:b/>
                <w:color w:val="0070C0"/>
                <w:sz w:val="22"/>
                <w:szCs w:val="22"/>
                <w:u w:val="single"/>
              </w:rPr>
              <w:t>Дорогие ребята!</w:t>
            </w: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70C0"/>
                <w:sz w:val="22"/>
                <w:szCs w:val="22"/>
              </w:rPr>
            </w:pPr>
            <w:r w:rsidRPr="0084529F">
              <w:rPr>
                <w:b/>
                <w:color w:val="0070C0"/>
                <w:sz w:val="22"/>
                <w:szCs w:val="22"/>
              </w:rPr>
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</w:r>
          </w:p>
          <w:p w:rsidR="00C633B9" w:rsidRDefault="00C633B9" w:rsidP="009C7A6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5B3A4B" w:rsidRDefault="005B3A4B" w:rsidP="00AB78BD">
      <w:pPr>
        <w:pStyle w:val="a3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5D59BD" w:rsidRDefault="005D59BD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bookmarkStart w:id="0" w:name="_GoBack"/>
      <w:bookmarkEnd w:id="0"/>
      <w:r w:rsidRPr="0084529F">
        <w:rPr>
          <w:b/>
          <w:bCs/>
          <w:i/>
          <w:sz w:val="26"/>
          <w:szCs w:val="26"/>
        </w:rPr>
        <w:t xml:space="preserve">Комиссия по делам несовершеннолетних </w:t>
      </w:r>
      <w:proofErr w:type="spellStart"/>
      <w:r w:rsidR="007C6678">
        <w:rPr>
          <w:b/>
          <w:bCs/>
          <w:i/>
          <w:sz w:val="26"/>
          <w:szCs w:val="26"/>
        </w:rPr>
        <w:t>Хойникск</w:t>
      </w:r>
      <w:r w:rsidRPr="0084529F">
        <w:rPr>
          <w:b/>
          <w:bCs/>
          <w:i/>
          <w:sz w:val="26"/>
          <w:szCs w:val="26"/>
        </w:rPr>
        <w:t>ого</w:t>
      </w:r>
      <w:proofErr w:type="spellEnd"/>
      <w:r w:rsidRPr="0084529F">
        <w:rPr>
          <w:b/>
          <w:bCs/>
          <w:i/>
          <w:sz w:val="26"/>
          <w:szCs w:val="26"/>
        </w:rPr>
        <w:t xml:space="preserve"> районного</w:t>
      </w: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F22772" w:rsidRPr="005B20D8" w:rsidRDefault="00F22772" w:rsidP="00F22772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22772" w:rsidRPr="005B20D8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jc w:val="center"/>
      </w:pPr>
      <w:r>
        <w:rPr>
          <w:noProof/>
        </w:rPr>
        <w:drawing>
          <wp:inline distT="0" distB="0" distL="0" distR="0">
            <wp:extent cx="3299785" cy="1847850"/>
            <wp:effectExtent l="19050" t="0" r="0" b="0"/>
            <wp:docPr id="2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799" cy="184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F22772" w:rsidRDefault="0099623E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F22772">
        <w:rPr>
          <w:b/>
          <w:bCs/>
          <w:sz w:val="52"/>
          <w:szCs w:val="52"/>
        </w:rPr>
        <w:t>тветственность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Pr="00B3675A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22772" w:rsidRDefault="00F22772" w:rsidP="00C633B9">
      <w:pPr>
        <w:pStyle w:val="a3"/>
        <w:spacing w:before="0" w:beforeAutospacing="0" w:after="0" w:afterAutospacing="0" w:line="220" w:lineRule="exact"/>
        <w:jc w:val="both"/>
        <w:rPr>
          <w:bCs/>
          <w:sz w:val="21"/>
          <w:szCs w:val="21"/>
        </w:rPr>
      </w:pPr>
    </w:p>
    <w:p w:rsidR="00AB78BD" w:rsidRDefault="007C6678" w:rsidP="005B3A4B">
      <w:pPr>
        <w:pStyle w:val="a3"/>
        <w:spacing w:before="0" w:beforeAutospacing="0" w:after="0" w:afterAutospacing="0" w:line="220" w:lineRule="exact"/>
        <w:ind w:firstLine="357"/>
        <w:jc w:val="center"/>
      </w:pPr>
      <w:r>
        <w:t>Хойники</w:t>
      </w:r>
      <w:r w:rsidR="00F22772" w:rsidRPr="00B3675A">
        <w:t>, 20</w:t>
      </w:r>
      <w:r w:rsidR="00F22772">
        <w:t>2</w:t>
      </w:r>
      <w:r w:rsidR="001C753A">
        <w:t>1</w:t>
      </w:r>
      <w:r w:rsidR="00F22772">
        <w:t xml:space="preserve"> </w:t>
      </w: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Pr="005B3A4B" w:rsidRDefault="00C633B9" w:rsidP="0084529F">
      <w:pPr>
        <w:pStyle w:val="a3"/>
        <w:spacing w:before="0" w:beforeAutospacing="0" w:after="0" w:afterAutospacing="0" w:line="220" w:lineRule="exact"/>
      </w:pPr>
    </w:p>
    <w:p w:rsidR="0099623E" w:rsidRPr="00C633B9" w:rsidRDefault="00D5005F" w:rsidP="00F2277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6"/>
          <w:sz w:val="22"/>
          <w:szCs w:val="22"/>
          <w:shd w:val="clear" w:color="auto" w:fill="FFFFFF"/>
        </w:rPr>
      </w:pPr>
      <w:r w:rsidRPr="00C633B9">
        <w:rPr>
          <w:sz w:val="22"/>
          <w:szCs w:val="22"/>
        </w:rPr>
        <w:lastRenderedPageBreak/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</w:t>
      </w:r>
      <w:r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Статьей  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r w:rsidR="00F22772" w:rsidRPr="00C633B9">
        <w:rPr>
          <w:rStyle w:val="a6"/>
          <w:sz w:val="22"/>
          <w:szCs w:val="22"/>
          <w:shd w:val="clear" w:color="auto" w:fill="FFFFFF"/>
        </w:rPr>
        <w:t>.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КоАП РБ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определен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  возраст</w:t>
      </w:r>
      <w:r w:rsidR="00F22772" w:rsidRPr="00C633B9">
        <w:rPr>
          <w:rStyle w:val="a6"/>
          <w:sz w:val="22"/>
          <w:szCs w:val="22"/>
          <w:shd w:val="clear" w:color="auto" w:fill="FFFFFF"/>
        </w:rPr>
        <w:t>, с которого наступает административная ответственность</w:t>
      </w:r>
      <w:r w:rsidR="0099623E" w:rsidRPr="00C633B9">
        <w:rPr>
          <w:rStyle w:val="a6"/>
          <w:sz w:val="22"/>
          <w:szCs w:val="22"/>
          <w:shd w:val="clear" w:color="auto" w:fill="FFFFFF"/>
        </w:rPr>
        <w:t>.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</w:t>
      </w:r>
      <w:r w:rsidR="00C633B9" w:rsidRPr="00C633B9">
        <w:rPr>
          <w:rStyle w:val="a7"/>
          <w:b/>
          <w:sz w:val="22"/>
          <w:szCs w:val="22"/>
        </w:rPr>
        <w:t>10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99623E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 xml:space="preserve">10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Оскорбление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20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C24BCD" w:rsidRPr="00C633B9" w:rsidRDefault="00C24BCD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>. Мелкое хищение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Pr="00C633B9">
        <w:rPr>
          <w:sz w:val="22"/>
          <w:szCs w:val="22"/>
        </w:rPr>
        <w:t xml:space="preserve">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 xml:space="preserve">30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7"/>
          <w:i w:val="0"/>
          <w:sz w:val="22"/>
          <w:szCs w:val="22"/>
        </w:rPr>
      </w:pPr>
    </w:p>
    <w:p w:rsidR="00C633B9" w:rsidRPr="00C633B9" w:rsidRDefault="00C633B9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1C753A" w:rsidRPr="00C633B9" w:rsidRDefault="001C753A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>Умышленные уничтожение либо повреждение чужого имущества, повлекшие причинение ущерба 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</w:t>
      </w:r>
      <w:r w:rsidR="00C633B9" w:rsidRPr="00C633B9">
        <w:rPr>
          <w:i/>
          <w:sz w:val="22"/>
          <w:szCs w:val="22"/>
        </w:rPr>
        <w:t xml:space="preserve">30 </w:t>
      </w:r>
      <w:r w:rsidRPr="00C633B9">
        <w:rPr>
          <w:i/>
          <w:sz w:val="22"/>
          <w:szCs w:val="22"/>
        </w:rPr>
        <w:t>базовых величин.</w:t>
      </w:r>
    </w:p>
    <w:p w:rsidR="00C633B9" w:rsidRPr="00C633B9" w:rsidRDefault="00C633B9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>. Присвоение найденного имущества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a7"/>
          <w:b/>
          <w:sz w:val="22"/>
          <w:szCs w:val="22"/>
        </w:rPr>
        <w:t xml:space="preserve">влечет </w:t>
      </w:r>
      <w:r w:rsidR="00C633B9" w:rsidRPr="00C633B9">
        <w:rPr>
          <w:rStyle w:val="a7"/>
          <w:b/>
          <w:sz w:val="22"/>
          <w:szCs w:val="22"/>
        </w:rPr>
        <w:t xml:space="preserve"> </w:t>
      </w:r>
      <w:r w:rsidRPr="00C633B9">
        <w:rPr>
          <w:rStyle w:val="a7"/>
          <w:b/>
          <w:sz w:val="22"/>
          <w:szCs w:val="22"/>
        </w:rPr>
        <w:t xml:space="preserve">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5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5B3A4B" w:rsidRPr="00C633B9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5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Default="005B3A4B" w:rsidP="00C633B9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взыскания за такие же нарушения,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>50</w:t>
      </w:r>
      <w:r w:rsidRPr="00C633B9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E41BBC" w:rsidRPr="00C633B9" w:rsidRDefault="00E41BBC" w:rsidP="00C633B9">
      <w:pPr>
        <w:pStyle w:val="point"/>
        <w:ind w:firstLine="0"/>
        <w:rPr>
          <w:sz w:val="22"/>
          <w:szCs w:val="22"/>
        </w:rPr>
      </w:pP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 xml:space="preserve">(прим:  </w:t>
      </w:r>
      <w:r w:rsidR="00C633B9" w:rsidRPr="00C633B9">
        <w:rPr>
          <w:i/>
          <w:sz w:val="22"/>
          <w:szCs w:val="22"/>
        </w:rPr>
        <w:t xml:space="preserve">нахождение </w:t>
      </w:r>
      <w:r w:rsidRPr="00C633B9">
        <w:rPr>
          <w:i/>
          <w:sz w:val="22"/>
          <w:szCs w:val="22"/>
        </w:rPr>
        <w:t>без светоотражающего элемента на проезже</w:t>
      </w:r>
      <w:r w:rsidR="00C633B9" w:rsidRPr="00C633B9">
        <w:rPr>
          <w:i/>
          <w:sz w:val="22"/>
          <w:szCs w:val="22"/>
        </w:rPr>
        <w:t>й</w:t>
      </w:r>
      <w:r w:rsidRPr="00C633B9">
        <w:rPr>
          <w:i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5B3A4B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</w:t>
      </w:r>
      <w:r w:rsidR="00C633B9" w:rsidRPr="00C633B9">
        <w:rPr>
          <w:b/>
          <w:i/>
          <w:sz w:val="22"/>
          <w:szCs w:val="22"/>
        </w:rPr>
        <w:t>1</w:t>
      </w:r>
      <w:r w:rsidRPr="00C633B9">
        <w:rPr>
          <w:b/>
          <w:i/>
          <w:sz w:val="22"/>
          <w:szCs w:val="22"/>
        </w:rPr>
        <w:t xml:space="preserve"> до </w:t>
      </w:r>
      <w:r w:rsidR="00C633B9" w:rsidRPr="00C633B9">
        <w:rPr>
          <w:b/>
          <w:i/>
          <w:sz w:val="22"/>
          <w:szCs w:val="22"/>
        </w:rPr>
        <w:t>3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E41BBC" w:rsidRPr="00C633B9" w:rsidRDefault="00E41BBC" w:rsidP="005B3A4B">
      <w:pPr>
        <w:pStyle w:val="newncpi"/>
        <w:ind w:firstLine="0"/>
        <w:rPr>
          <w:b/>
          <w:i/>
          <w:sz w:val="22"/>
          <w:szCs w:val="22"/>
        </w:rPr>
      </w:pPr>
    </w:p>
    <w:p w:rsidR="005B3A4B" w:rsidRPr="00C633B9" w:rsidRDefault="005B3A4B" w:rsidP="005B3A4B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5B3A4B" w:rsidRPr="00C633B9" w:rsidRDefault="00E41BBC" w:rsidP="00E41BBC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="005B3A4B" w:rsidRPr="00C633B9">
        <w:rPr>
          <w:sz w:val="22"/>
          <w:szCs w:val="22"/>
        </w:rPr>
        <w:t xml:space="preserve"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</w:t>
      </w:r>
      <w:r w:rsidR="005B3A4B" w:rsidRPr="00C633B9">
        <w:rPr>
          <w:sz w:val="22"/>
          <w:szCs w:val="22"/>
        </w:rPr>
        <w:t>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</w:t>
      </w:r>
      <w:r w:rsidR="00C633B9" w:rsidRPr="00C633B9">
        <w:rPr>
          <w:sz w:val="22"/>
          <w:szCs w:val="22"/>
        </w:rPr>
        <w:t xml:space="preserve"> </w:t>
      </w:r>
      <w:r w:rsidR="005B3A4B" w:rsidRPr="00C633B9">
        <w:rPr>
          <w:b/>
          <w:i/>
          <w:sz w:val="22"/>
          <w:szCs w:val="22"/>
        </w:rPr>
        <w:t xml:space="preserve">влечет наложение штрафа в размере </w:t>
      </w:r>
      <w:r w:rsidR="00C633B9" w:rsidRPr="00C633B9">
        <w:rPr>
          <w:b/>
          <w:i/>
          <w:sz w:val="22"/>
          <w:szCs w:val="22"/>
        </w:rPr>
        <w:t>100</w:t>
      </w:r>
      <w:r w:rsidR="005B3A4B"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три года.</w:t>
      </w:r>
    </w:p>
    <w:p w:rsidR="005B3A4B" w:rsidRPr="00C633B9" w:rsidRDefault="005B3A4B" w:rsidP="00E41BBC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 xml:space="preserve">влекут наложение штрафа в размере </w:t>
      </w:r>
      <w:r w:rsidR="00C633B9" w:rsidRPr="00C633B9">
        <w:rPr>
          <w:b/>
          <w:i/>
          <w:sz w:val="22"/>
          <w:szCs w:val="22"/>
        </w:rPr>
        <w:t>200</w:t>
      </w:r>
      <w:r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пять лет.</w:t>
      </w:r>
    </w:p>
    <w:p w:rsidR="00C633B9" w:rsidRDefault="005B3A4B" w:rsidP="00E41BBC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E41BBC" w:rsidRPr="00C633B9" w:rsidRDefault="00E41BBC" w:rsidP="00E41BBC">
      <w:pPr>
        <w:pStyle w:val="newncpi"/>
        <w:ind w:firstLine="0"/>
        <w:rPr>
          <w:b/>
          <w:i/>
          <w:sz w:val="22"/>
          <w:szCs w:val="22"/>
        </w:rPr>
      </w:pP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sectPr w:rsidR="00C633B9" w:rsidRPr="00C633B9" w:rsidSect="00C633B9">
      <w:pgSz w:w="16838" w:h="11906" w:orient="landscape"/>
      <w:pgMar w:top="426" w:right="253" w:bottom="426" w:left="567" w:header="709" w:footer="709" w:gutter="0"/>
      <w:cols w:num="3" w:space="5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72"/>
    <w:rsid w:val="00001E29"/>
    <w:rsid w:val="001C753A"/>
    <w:rsid w:val="00407E53"/>
    <w:rsid w:val="00441FD9"/>
    <w:rsid w:val="005B3A4B"/>
    <w:rsid w:val="005D59BD"/>
    <w:rsid w:val="00615889"/>
    <w:rsid w:val="006939BD"/>
    <w:rsid w:val="007C6678"/>
    <w:rsid w:val="0084529F"/>
    <w:rsid w:val="0099623E"/>
    <w:rsid w:val="009C7A62"/>
    <w:rsid w:val="00AB78BD"/>
    <w:rsid w:val="00B65CBC"/>
    <w:rsid w:val="00C24BCD"/>
    <w:rsid w:val="00C633B9"/>
    <w:rsid w:val="00D5005F"/>
    <w:rsid w:val="00E41BBC"/>
    <w:rsid w:val="00F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24A"/>
  <w15:docId w15:val="{974366DD-D6A1-4F48-B99E-7CC91CEA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Олеся Токарская</cp:lastModifiedBy>
  <cp:revision>4</cp:revision>
  <cp:lastPrinted>2021-03-19T07:49:00Z</cp:lastPrinted>
  <dcterms:created xsi:type="dcterms:W3CDTF">2021-03-19T07:45:00Z</dcterms:created>
  <dcterms:modified xsi:type="dcterms:W3CDTF">2021-03-19T07:50:00Z</dcterms:modified>
</cp:coreProperties>
</file>